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365" w14:textId="77777777" w:rsidR="008D19A7" w:rsidRDefault="008D19A7"/>
    <w:p w14:paraId="280F5960" w14:textId="77777777" w:rsidR="00A867A5" w:rsidRDefault="00A867A5"/>
    <w:p w14:paraId="6FE49010" w14:textId="77777777" w:rsidR="00A867A5" w:rsidRDefault="00A867A5"/>
    <w:p w14:paraId="08083A8C" w14:textId="77777777" w:rsidR="006169C3" w:rsidRDefault="006169C3" w:rsidP="00182257">
      <w:pPr>
        <w:pStyle w:val="NormalWeb"/>
        <w:spacing w:before="0" w:beforeAutospacing="0" w:after="360" w:afterAutospacing="0" w:line="271" w:lineRule="auto"/>
        <w:rPr>
          <w:rStyle w:val="Textoennegrita"/>
          <w:rFonts w:ascii="Arial Narrow" w:hAnsi="Arial Narrow" w:cs="Arial"/>
          <w:sz w:val="32"/>
          <w:szCs w:val="32"/>
        </w:rPr>
      </w:pPr>
    </w:p>
    <w:p w14:paraId="49260555" w14:textId="613729C8" w:rsidR="006974DD" w:rsidRPr="006974DD" w:rsidRDefault="006974DD" w:rsidP="006974DD">
      <w:pPr>
        <w:pStyle w:val="NormalWeb"/>
        <w:jc w:val="center"/>
        <w:rPr>
          <w:rFonts w:ascii="Arial Narrow" w:hAnsi="Arial Narrow" w:cstheme="minorHAnsi"/>
          <w:b/>
          <w:bCs/>
          <w:sz w:val="36"/>
          <w:szCs w:val="36"/>
        </w:rPr>
      </w:pPr>
      <w:r w:rsidRPr="006974DD">
        <w:rPr>
          <w:rFonts w:ascii="Arial Narrow" w:hAnsi="Arial Narrow" w:cstheme="minorHAnsi"/>
          <w:b/>
          <w:bCs/>
          <w:sz w:val="36"/>
          <w:szCs w:val="36"/>
        </w:rPr>
        <w:t xml:space="preserve">Inteligencia artificial para modernizar </w:t>
      </w:r>
      <w:r>
        <w:rPr>
          <w:rFonts w:ascii="Arial Narrow" w:hAnsi="Arial Narrow" w:cstheme="minorHAnsi"/>
          <w:b/>
          <w:bCs/>
          <w:sz w:val="36"/>
          <w:szCs w:val="36"/>
        </w:rPr>
        <w:br/>
      </w:r>
      <w:r w:rsidRPr="006974DD">
        <w:rPr>
          <w:rFonts w:ascii="Arial Narrow" w:hAnsi="Arial Narrow" w:cstheme="minorHAnsi"/>
          <w:b/>
          <w:bCs/>
          <w:sz w:val="36"/>
          <w:szCs w:val="36"/>
        </w:rPr>
        <w:t>los Estados de América Latina</w:t>
      </w:r>
    </w:p>
    <w:p w14:paraId="52A773A1" w14:textId="77777777" w:rsidR="006974DD" w:rsidRPr="006974DD" w:rsidRDefault="006974DD" w:rsidP="006974DD">
      <w:pPr>
        <w:pStyle w:val="NormalWeb"/>
        <w:rPr>
          <w:rFonts w:ascii="Arial Narrow" w:hAnsi="Arial Narrow" w:cstheme="minorHAnsi"/>
          <w:color w:val="404040" w:themeColor="text1" w:themeTint="BF"/>
        </w:rPr>
      </w:pPr>
      <w:r w:rsidRPr="006974DD">
        <w:rPr>
          <w:rFonts w:ascii="Arial Narrow" w:hAnsi="Arial Narrow" w:cstheme="minorHAnsi"/>
          <w:color w:val="404040" w:themeColor="text1" w:themeTint="BF"/>
        </w:rPr>
        <w:t xml:space="preserve">Un nuevo estudio de CAF analiza el enorme potencial de la inteligencia artificial para lograr Estados </w:t>
      </w:r>
      <w:proofErr w:type="spellStart"/>
      <w:r w:rsidRPr="006974DD">
        <w:rPr>
          <w:rFonts w:ascii="Arial Narrow" w:hAnsi="Arial Narrow" w:cstheme="minorHAnsi"/>
          <w:color w:val="404040" w:themeColor="text1" w:themeTint="BF"/>
        </w:rPr>
        <w:t>más</w:t>
      </w:r>
      <w:proofErr w:type="spellEnd"/>
      <w:r w:rsidRPr="006974DD">
        <w:rPr>
          <w:rFonts w:ascii="Arial Narrow" w:hAnsi="Arial Narrow" w:cstheme="minorHAnsi"/>
          <w:color w:val="404040" w:themeColor="text1" w:themeTint="BF"/>
        </w:rPr>
        <w:t xml:space="preserve"> eficientes que ofrezcan mejores servicios públicos de salud, educación, justicia, tributación o gestión de residuos. El reporte también expone estrategias de adopción de la IA en los gobiernos de América Latina y urge a integrar principios éticos para reducir los riesgos asociados a estas tecnologías, como la privacidad o la seguridad de la información.</w:t>
      </w:r>
    </w:p>
    <w:p w14:paraId="7D0BDAF3" w14:textId="77777777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i/>
          <w:iCs/>
          <w:color w:val="595959" w:themeColor="text1" w:themeTint="A6"/>
          <w:sz w:val="20"/>
          <w:szCs w:val="20"/>
          <w:lang w:eastAsia="es-MX"/>
        </w:rPr>
        <w:t>(Bogotá, 15 de septiembre de 2021).</w:t>
      </w:r>
      <w:r w:rsidRPr="003337A4">
        <w:rPr>
          <w:rFonts w:eastAsia="Times New Roman" w:cstheme="minorHAnsi"/>
          <w:color w:val="595959" w:themeColor="text1" w:themeTint="A6"/>
          <w:lang w:eastAsia="es-MX"/>
        </w:rPr>
        <w:t xml:space="preserve">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El uso de datos e Inteligencia Artificial (IA) están llamados a revolucionar las economías modernas, pero también tienen el potencial de transformar la forma en que los gobiernos ofrecen servicios públicos a sus ciudadanos. Según el reporte</w:t>
      </w:r>
      <w:hyperlink r:id="rId7" w:history="1">
        <w:r w:rsidRPr="006974DD">
          <w:rPr>
            <w:rStyle w:val="Hipervnculo"/>
            <w:rFonts w:ascii="Arial Narrow" w:eastAsia="Times New Roman" w:hAnsi="Arial Narrow" w:cstheme="minorHAnsi"/>
            <w:sz w:val="23"/>
            <w:szCs w:val="23"/>
            <w:lang w:eastAsia="es-MX"/>
          </w:rPr>
          <w:t xml:space="preserve"> </w:t>
        </w:r>
        <w:proofErr w:type="spellStart"/>
        <w:r w:rsidRPr="006974DD">
          <w:rPr>
            <w:rStyle w:val="Hipervnculo"/>
            <w:rFonts w:ascii="Arial Narrow" w:eastAsia="Times New Roman" w:hAnsi="Arial Narrow" w:cstheme="minorHAnsi"/>
            <w:sz w:val="23"/>
            <w:szCs w:val="23"/>
            <w:lang w:eastAsia="es-MX"/>
          </w:rPr>
          <w:t>ExperiencIA</w:t>
        </w:r>
        <w:proofErr w:type="spellEnd"/>
        <w:r w:rsidRPr="006974DD">
          <w:rPr>
            <w:rStyle w:val="Hipervnculo"/>
            <w:rFonts w:ascii="Arial Narrow" w:eastAsia="Times New Roman" w:hAnsi="Arial Narrow" w:cstheme="minorHAnsi"/>
            <w:sz w:val="23"/>
            <w:szCs w:val="23"/>
            <w:lang w:eastAsia="es-MX"/>
          </w:rPr>
          <w:t>: datos e inteligencia artificial en el sector público</w:t>
        </w:r>
      </w:hyperlink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, publicado por CAF -banco de desarrollo de América Latina-, un uso responsable de la IA en el sector público puede ayudar a que la región dé un salto cualitativo en la provisión de servicios públicos, en la eficiencia de sus procesos burocráticos y en la rendición de cuentas a sus ciudadanos.</w:t>
      </w:r>
    </w:p>
    <w:p w14:paraId="4ADB98F5" w14:textId="77777777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El estudio asegura </w:t>
      </w:r>
      <w:proofErr w:type="gram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que</w:t>
      </w:r>
      <w:proofErr w:type="gram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si bien el uso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estratégico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de los datos y la IA tiene un gran potencial para modernizar el sector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público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, este solo beneficiará al conjunto de la sociedad bajo ciertas condiciones. </w:t>
      </w:r>
      <w:r w:rsidRPr="006974DD">
        <w:rPr>
          <w:rFonts w:ascii="Arial Narrow" w:hAnsi="Arial Narrow" w:cstheme="minorHAnsi"/>
          <w:color w:val="000000" w:themeColor="text1"/>
          <w:sz w:val="23"/>
          <w:szCs w:val="23"/>
        </w:rPr>
        <w:t xml:space="preserve">En este sentido, su </w:t>
      </w: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uso debe basarse en tres pilares: </w:t>
      </w:r>
    </w:p>
    <w:p w14:paraId="6587D26F" w14:textId="77777777" w:rsidR="006974DD" w:rsidRPr="006974DD" w:rsidRDefault="006974DD" w:rsidP="006974DD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Definir e implementar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políticas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públicas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basadas en principios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éticos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; </w:t>
      </w:r>
    </w:p>
    <w:p w14:paraId="26A0C797" w14:textId="77777777" w:rsidR="006974DD" w:rsidRPr="006974DD" w:rsidRDefault="006974DD" w:rsidP="006974DD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Adoptar marcos de gobernanza de los datos y de los algoritmos soportados en marcos regulatorios adecuados;</w:t>
      </w:r>
    </w:p>
    <w:p w14:paraId="0115A87A" w14:textId="77777777" w:rsidR="006974DD" w:rsidRPr="006974DD" w:rsidRDefault="006974DD" w:rsidP="006974DD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Preparar la fuerza laboral desde el punto de vista técnico y cultural y atraer nuevo talento. </w:t>
      </w:r>
    </w:p>
    <w:p w14:paraId="36ED01C6" w14:textId="77777777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El informe también alerta de que las experiencias negativas con el desarrollo y uso de la IA, tanto a nivel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público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como privado, pueden deteriorar la confianza de los diferentes actores en la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tecnología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y, en consecuencia, minar su legitimidad para el uso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público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. Por eso, hay que reconocer los posibles daños por abuso, mal uso, defectos de diseño o efectos indeseados, y garantizar el cumplimiento de un conjunto de principios éticos que prevengan y protejan contra esos riesgos. </w:t>
      </w:r>
    </w:p>
    <w:p w14:paraId="600F9960" w14:textId="77777777" w:rsidR="00300346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“El uso de la inteligencia artificial ya es una realidad y se ha probado en el mundo y en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región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. No obstante, es importante descifrar y comprender su potencial, su alcance, los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desafíos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las posibilidades a las que nos enfrentamos. Esta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tecnología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no es buena o mala en sí misma, depende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cómo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para qué se utilice. Apropiarse de ella no supone cambios superficiales, sino trasformaciones profundas. </w:t>
      </w:r>
    </w:p>
    <w:p w14:paraId="1ABC867E" w14:textId="77777777" w:rsidR="00300346" w:rsidRDefault="00300346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</w:p>
    <w:p w14:paraId="4E612BBF" w14:textId="77777777" w:rsidR="00300346" w:rsidRDefault="00300346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</w:p>
    <w:p w14:paraId="7E796B7A" w14:textId="77777777" w:rsidR="00300346" w:rsidRDefault="00300346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</w:p>
    <w:p w14:paraId="624E0846" w14:textId="77777777" w:rsidR="00300346" w:rsidRDefault="00300346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</w:p>
    <w:p w14:paraId="3D69DE46" w14:textId="131D3384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Por eso, el reporte busca mostrar el camino que otros han recorrido para aprender de esas experiencias, en general, esperanzadoras”, dice Carlos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Santiso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, responsable de la Dirección de Innovación Digital del Estado en CAF. </w:t>
      </w:r>
    </w:p>
    <w:p w14:paraId="6D950552" w14:textId="4DD367C3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El informe también presenta una serie de estudios de caso que ilustran muchos de los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desafíos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riesgos asociados a la IA, pero también evidencian los beneficios que su uso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estratégico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puede tener para generar valor social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económico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. Son exponentes claros de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aplicación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práctica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un avance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tecnológico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que no solo ha llegado para quedarse, sino que puede crecer de forma exponencial. </w:t>
      </w:r>
    </w:p>
    <w:p w14:paraId="08FA0E8F" w14:textId="77777777" w:rsidR="006974DD" w:rsidRPr="006974DD" w:rsidRDefault="006974DD" w:rsidP="006974DD">
      <w:pPr>
        <w:spacing w:before="100" w:beforeAutospacing="1" w:after="100" w:afterAutospacing="1"/>
        <w:rPr>
          <w:rFonts w:ascii="Arial Narrow" w:eastAsia="Times New Roman" w:hAnsi="Arial Narrow" w:cstheme="minorHAnsi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A </w:t>
      </w:r>
      <w:proofErr w:type="gram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continuación</w:t>
      </w:r>
      <w:proofErr w:type="gram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se resumen los casos analizados:</w:t>
      </w:r>
    </w:p>
    <w:p w14:paraId="7C0D297C" w14:textId="14D6738D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en la salud: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La experiencia de la red de cuidados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médicos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Emory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Healthcare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Network, en Estados Unidos, ilustra los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desafíos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avances logrados en el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ámbito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la telemedicina y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aplicación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la IA en diferentes especialidades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médicas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.</w:t>
      </w:r>
    </w:p>
    <w:p w14:paraId="1FFD7A54" w14:textId="14F6B1A5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en la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educación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l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Dropout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Early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Warning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System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(DEWS) en Wisconsin (Estados Unidos)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es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un sistema de alerta temprana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deserción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escolar que forma parte del sistema estatal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información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sobre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educación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.</w:t>
      </w:r>
    </w:p>
    <w:p w14:paraId="5A4A9ACB" w14:textId="2D131798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en la justicia: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Estas experiencias se basan en el uso de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semántica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datos,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automatización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procesos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búsquedas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arquitecturas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más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complejas para realizar previsiones o predicciones. </w:t>
      </w:r>
    </w:p>
    <w:p w14:paraId="7B213303" w14:textId="637D3889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Uso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estratégico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de los datos en la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gestión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de residuos: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Como muestran los estudios de caso en las ciudades italianas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Rogno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,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Cascina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,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Gardone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Riviera,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Vernazza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Milán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, la clave está en el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análisis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los datos con aplicaciones que usan sistemas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geolocalización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dispositivos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identificación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por radiofrecuencia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.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</w:t>
      </w:r>
    </w:p>
    <w:p w14:paraId="43AEEF0E" w14:textId="56AEEABA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para optimizar los ingresos del Estado: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La IA en este campo está propiciando una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transformación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del modo de funcionamiento de las administraciones, de la que son reflejo las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políticas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prácticas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las agencias tributarias de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Canada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́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España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. </w:t>
      </w:r>
    </w:p>
    <w:p w14:paraId="2915B465" w14:textId="4B7E47F0" w:rsidR="006974DD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para optimizar el gasto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público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: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ProZorro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(Ucrania)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nacio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́ a partir de mercados virtuales (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marketplaces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) ya existentes para crear una base de datos que unifica la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información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sobre compras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públicas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y cumple el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estándar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datos abiertos. </w:t>
      </w:r>
    </w:p>
    <w:p w14:paraId="2678F9BB" w14:textId="6E6CFA0B" w:rsidR="00A147A6" w:rsidRPr="006974DD" w:rsidRDefault="006974DD" w:rsidP="006974DD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 Narrow" w:hAnsi="Arial Narrow" w:cstheme="minorHAnsi"/>
          <w:sz w:val="23"/>
          <w:szCs w:val="23"/>
        </w:rPr>
      </w:pPr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Inteligencia artificial antes, durante y </w:t>
      </w:r>
      <w:proofErr w:type="spellStart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>después</w:t>
      </w:r>
      <w:proofErr w:type="spellEnd"/>
      <w:r w:rsidRPr="006974DD">
        <w:rPr>
          <w:rFonts w:ascii="Arial Narrow" w:eastAsia="Times New Roman" w:hAnsi="Arial Narrow" w:cstheme="minorHAnsi"/>
          <w:color w:val="000000" w:themeColor="text1"/>
          <w:sz w:val="23"/>
          <w:szCs w:val="23"/>
          <w:lang w:eastAsia="es-MX"/>
        </w:rPr>
        <w:t xml:space="preserve"> de la pandemia del COVID-19: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Cinco casos de estudio que buscan mitigar los efectos sanitarios, sociales y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económicos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la pandemia permiten analizar las mejores </w:t>
      </w:r>
      <w:proofErr w:type="spellStart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prácticas</w:t>
      </w:r>
      <w:proofErr w:type="spellEnd"/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de IA para el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>enfrentar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 est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e tipo </w:t>
      </w:r>
      <w:r w:rsidRPr="006974DD">
        <w:rPr>
          <w:rFonts w:ascii="Arial Narrow" w:eastAsia="Times New Roman" w:hAnsi="Arial Narrow" w:cstheme="minorHAnsi"/>
          <w:sz w:val="23"/>
          <w:szCs w:val="23"/>
          <w:lang w:eastAsia="es-MX"/>
        </w:rPr>
        <w:t xml:space="preserve">de acontecimientos. </w:t>
      </w:r>
    </w:p>
    <w:p w14:paraId="0A11439E" w14:textId="77777777" w:rsidR="00A147A6" w:rsidRDefault="00A147A6" w:rsidP="00A147A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8">
        <w:r w:rsidRPr="005D4C87">
          <w:rPr>
            <w:rStyle w:val="Hipervnculo"/>
            <w:rFonts w:ascii="Arial Narrow" w:eastAsia="Calibri" w:hAnsi="Arial Narrow" w:cs="Times New Roman"/>
            <w:noProof/>
            <w:sz w:val="18"/>
            <w:szCs w:val="18"/>
            <w:lang w:eastAsia="es-ES"/>
          </w:rPr>
          <w:t>www.caf.com/</w:t>
        </w:r>
      </w:hyperlink>
    </w:p>
    <w:p w14:paraId="535BBF37" w14:textId="77777777" w:rsidR="00A147A6" w:rsidRPr="005D4C87" w:rsidRDefault="00A147A6" w:rsidP="00A147A6">
      <w:pPr>
        <w:pStyle w:val="Textosinformato"/>
        <w:rPr>
          <w:rFonts w:ascii="Arial Narrow" w:hAnsi="Arial Narrow"/>
          <w:noProof/>
          <w:sz w:val="18"/>
          <w:szCs w:val="18"/>
          <w:lang w:val="es-ES_tradnl"/>
        </w:rPr>
      </w:pPr>
      <w:r w:rsidRPr="005D4C87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86D9" wp14:editId="0AC315BE">
                <wp:simplePos x="0" y="0"/>
                <wp:positionH relativeFrom="column">
                  <wp:posOffset>-88900</wp:posOffset>
                </wp:positionH>
                <wp:positionV relativeFrom="paragraph">
                  <wp:posOffset>95250</wp:posOffset>
                </wp:positionV>
                <wp:extent cx="5638800" cy="19050"/>
                <wp:effectExtent l="0" t="0" r="25400" b="317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D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7pt;margin-top:7.5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" strokecolor="#7f7f7f">
                <v:stroke dashstyle="1 1" endcap="round"/>
              </v:shape>
            </w:pict>
          </mc:Fallback>
        </mc:AlternateContent>
      </w:r>
    </w:p>
    <w:p w14:paraId="01C39161" w14:textId="77777777" w:rsidR="00A147A6" w:rsidRPr="005D4C87" w:rsidRDefault="00A147A6" w:rsidP="00A147A6">
      <w:pPr>
        <w:pStyle w:val="Textosinformato"/>
        <w:ind w:left="142"/>
        <w:rPr>
          <w:rFonts w:ascii="Arial Narrow" w:hAnsi="Arial Narrow"/>
          <w:noProof/>
          <w:sz w:val="18"/>
          <w:szCs w:val="18"/>
          <w:u w:val="single"/>
        </w:rPr>
      </w:pPr>
      <w:r w:rsidRPr="005D4C87">
        <w:rPr>
          <w:rFonts w:ascii="Arial Narrow" w:hAnsi="Arial Narrow"/>
          <w:noProof/>
          <w:sz w:val="18"/>
          <w:szCs w:val="18"/>
        </w:rPr>
        <w:t xml:space="preserve">CAF, Dirección de Comunicación Estratégica, </w:t>
      </w:r>
      <w:hyperlink r:id="rId9" w:history="1">
        <w:r w:rsidRPr="005D4C87">
          <w:rPr>
            <w:rStyle w:val="Hipervnculo"/>
            <w:rFonts w:ascii="Arial Narrow" w:hAnsi="Arial Narrow"/>
            <w:noProof/>
            <w:sz w:val="18"/>
            <w:szCs w:val="18"/>
          </w:rPr>
          <w:t>infocaf@caf.com</w:t>
        </w:r>
      </w:hyperlink>
    </w:p>
    <w:p w14:paraId="17917F8F" w14:textId="46ACD509" w:rsidR="00A867A5" w:rsidRPr="006169C3" w:rsidRDefault="00A147A6" w:rsidP="00A147A6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5D4C87">
        <w:rPr>
          <w:rFonts w:ascii="Arial Narrow" w:hAnsi="Arial Narrow"/>
          <w:noProof/>
          <w:sz w:val="18"/>
          <w:szCs w:val="18"/>
        </w:rPr>
        <w:t xml:space="preserve">Encuéntrennos en: </w:t>
      </w:r>
      <w:r w:rsidRPr="005D4C87">
        <w:rPr>
          <w:rFonts w:ascii="Arial Narrow" w:hAnsi="Arial Narrow"/>
          <w:noProof/>
          <w:sz w:val="18"/>
          <w:szCs w:val="18"/>
          <w:lang w:val="es-VE"/>
        </w:rPr>
        <w:t xml:space="preserve">Facebook: </w:t>
      </w:r>
      <w:hyperlink r:id="rId10" w:history="1">
        <w:r w:rsidRPr="005D4C87">
          <w:rPr>
            <w:rStyle w:val="Hipervnculo"/>
            <w:rFonts w:ascii="Arial Narrow" w:hAnsi="Arial Narrow"/>
            <w:noProof/>
            <w:sz w:val="18"/>
            <w:szCs w:val="18"/>
            <w:lang w:val="es-VE"/>
          </w:rPr>
          <w:t>CAF.America.Latina</w:t>
        </w:r>
      </w:hyperlink>
    </w:p>
    <w:sectPr w:rsidR="00A867A5" w:rsidRPr="006169C3" w:rsidSect="00A867A5">
      <w:headerReference w:type="default" r:id="rId11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BDFE" w14:textId="77777777" w:rsidR="004812E3" w:rsidRDefault="004812E3" w:rsidP="00A867A5">
      <w:r>
        <w:separator/>
      </w:r>
    </w:p>
  </w:endnote>
  <w:endnote w:type="continuationSeparator" w:id="0">
    <w:p w14:paraId="478E0FD8" w14:textId="77777777" w:rsidR="004812E3" w:rsidRDefault="004812E3" w:rsidP="00A8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026F" w14:textId="77777777" w:rsidR="004812E3" w:rsidRDefault="004812E3" w:rsidP="00A867A5">
      <w:r>
        <w:separator/>
      </w:r>
    </w:p>
  </w:footnote>
  <w:footnote w:type="continuationSeparator" w:id="0">
    <w:p w14:paraId="57D92178" w14:textId="77777777" w:rsidR="004812E3" w:rsidRDefault="004812E3" w:rsidP="00A8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EEBE" w14:textId="77777777" w:rsidR="00A867A5" w:rsidRDefault="00A867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AD549" wp14:editId="2B25201F">
          <wp:simplePos x="0" y="0"/>
          <wp:positionH relativeFrom="column">
            <wp:posOffset>-1067435</wp:posOffset>
          </wp:positionH>
          <wp:positionV relativeFrom="paragraph">
            <wp:posOffset>-480540</wp:posOffset>
          </wp:positionV>
          <wp:extent cx="7752214" cy="1798716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-resources-04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214" cy="1798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484"/>
    <w:multiLevelType w:val="hybridMultilevel"/>
    <w:tmpl w:val="AD3A0F14"/>
    <w:lvl w:ilvl="0" w:tplc="3F32C4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0FD7"/>
    <w:multiLevelType w:val="hybridMultilevel"/>
    <w:tmpl w:val="B74C5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0D52"/>
    <w:multiLevelType w:val="hybridMultilevel"/>
    <w:tmpl w:val="57B06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A5"/>
    <w:rsid w:val="00182257"/>
    <w:rsid w:val="0019259B"/>
    <w:rsid w:val="00195735"/>
    <w:rsid w:val="0021740C"/>
    <w:rsid w:val="002D51A8"/>
    <w:rsid w:val="00300346"/>
    <w:rsid w:val="00346364"/>
    <w:rsid w:val="00431989"/>
    <w:rsid w:val="004812E3"/>
    <w:rsid w:val="004B1A54"/>
    <w:rsid w:val="00585EA1"/>
    <w:rsid w:val="006169C3"/>
    <w:rsid w:val="006910C4"/>
    <w:rsid w:val="006974DD"/>
    <w:rsid w:val="00720876"/>
    <w:rsid w:val="0072531D"/>
    <w:rsid w:val="008C0BBC"/>
    <w:rsid w:val="008D19A7"/>
    <w:rsid w:val="009E6AA4"/>
    <w:rsid w:val="00A147A6"/>
    <w:rsid w:val="00A867A5"/>
    <w:rsid w:val="00A97130"/>
    <w:rsid w:val="00AD0BA8"/>
    <w:rsid w:val="00BF0DF9"/>
    <w:rsid w:val="00CA5B3A"/>
    <w:rsid w:val="00C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87883"/>
  <w15:chartTrackingRefBased/>
  <w15:docId w15:val="{214D4ADD-8221-D248-9614-0916B21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A4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7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7A5"/>
  </w:style>
  <w:style w:type="paragraph" w:styleId="Piedepgina">
    <w:name w:val="footer"/>
    <w:basedOn w:val="Normal"/>
    <w:link w:val="PiedepginaCar"/>
    <w:uiPriority w:val="99"/>
    <w:unhideWhenUsed/>
    <w:rsid w:val="00A867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7A5"/>
  </w:style>
  <w:style w:type="paragraph" w:styleId="NormalWeb">
    <w:name w:val="Normal (Web)"/>
    <w:basedOn w:val="Normal"/>
    <w:uiPriority w:val="99"/>
    <w:unhideWhenUsed/>
    <w:rsid w:val="009E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E6AA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E6AA4"/>
    <w:rPr>
      <w:color w:val="0563C1" w:themeColor="hyperlink"/>
      <w:u w:val="single"/>
    </w:rPr>
  </w:style>
  <w:style w:type="paragraph" w:customStyle="1" w:styleId="cafponenteslist">
    <w:name w:val="caf_ponentes_list"/>
    <w:basedOn w:val="Normal"/>
    <w:rsid w:val="009E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E6AA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E6AA4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6974DD"/>
    <w:pPr>
      <w:spacing w:after="0" w:line="240" w:lineRule="auto"/>
      <w:ind w:left="720"/>
      <w:contextualSpacing/>
    </w:pPr>
    <w:rPr>
      <w:sz w:val="24"/>
      <w:szCs w:val="24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oteca.caf.com/handle/123456789/1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AF.America.Lat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af@ca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5126</Characters>
  <Application>Microsoft Office Word</Application>
  <DocSecurity>0</DocSecurity>
  <Lines>94</Lines>
  <Paragraphs>17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valls</cp:lastModifiedBy>
  <cp:revision>3</cp:revision>
  <dcterms:created xsi:type="dcterms:W3CDTF">2021-09-14T21:16:00Z</dcterms:created>
  <dcterms:modified xsi:type="dcterms:W3CDTF">2021-09-14T21:17:00Z</dcterms:modified>
</cp:coreProperties>
</file>